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628"/>
        <w:ind w:hanging="0" w:left="0" w:right="0"/>
        <w:jc w:val="right"/>
        <w:rPr/>
      </w:pPr>
      <w:r>
        <w:rPr>
          <w:sz w:val="26"/>
          <w:u w:val="single" w:color="000000"/>
        </w:rPr>
        <w:t>Образец № 5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spacing w:lineRule="auto" w:line="259" w:before="0" w:after="64"/>
        <w:ind w:hanging="10" w:left="0" w:right="1210"/>
        <w:jc w:val="left"/>
        <w:rPr>
          <w:sz w:val="26"/>
        </w:rPr>
      </w:pPr>
      <w:r>
        <w:rPr>
          <w:sz w:val="26"/>
        </w:rPr>
      </w:r>
    </w:p>
    <w:p>
      <w:pPr>
        <w:pStyle w:val="Heading2"/>
        <w:spacing w:lineRule="auto" w:line="259" w:before="0" w:after="281"/>
        <w:ind w:hanging="10" w:left="0" w:right="121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ДЕКЛАРИРАМ, ЧЕ :</w:t>
      </w:r>
    </w:p>
    <w:p>
      <w:pPr>
        <w:pStyle w:val="Normal"/>
        <w:spacing w:before="0" w:after="494"/>
        <w:ind w:hanging="10" w:left="28" w:right="187"/>
        <w:rPr/>
      </w:pPr>
      <w:r>
        <w:rPr/>
        <w:drawing>
          <wp:inline distT="0" distB="0" distL="0" distR="0">
            <wp:extent cx="50165" cy="50165"/>
            <wp:effectExtent l="0" t="0" r="0" b="0"/>
            <wp:docPr id="1" name="Picture 19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5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съм запознат, че личните данни, които предоставям на Агенцията за публичните предприятия и контрол, </w:t>
      </w:r>
      <w:bookmarkStart w:id="0" w:name="__DdeLink__1791_787492504"/>
      <w:r>
        <w:rPr/>
        <w:t xml:space="preserve">и </w:t>
      </w:r>
      <w:r>
        <w:rPr>
          <w:szCs w:val="24"/>
        </w:rPr>
        <w:t>СБПЛРББ „Царица Йоанна“ ЕООД - град Трявна</w:t>
      </w:r>
      <w:bookmarkEnd w:id="0"/>
      <w:r>
        <w:rPr/>
        <w:t xml:space="preserve"> за участие в електронен търг за продажба на недвижим имот</w:t>
      </w:r>
      <w:r>
        <w:rPr>
          <w:sz w:val="24"/>
          <w:szCs w:val="24"/>
        </w:rPr>
        <w:t xml:space="preserve"> – обособена част от лечебно заведение, собственост на </w:t>
      </w:r>
      <w:bookmarkStart w:id="1" w:name="__DdeLink__402_2127581717"/>
      <w:r>
        <w:rPr>
          <w:sz w:val="24"/>
          <w:szCs w:val="24"/>
        </w:rPr>
        <w:t xml:space="preserve">СБПЛРББ „Царица Йоанна“ ЕООД - град Трявна, представляващ </w:t>
      </w:r>
      <w:r>
        <w:rPr>
          <w:rFonts w:eastAsia="Times New Roman" w:cs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/>
          <w:b/>
          <w:bCs/>
          <w:sz w:val="24"/>
          <w:szCs w:val="24"/>
        </w:rPr>
        <w:t>73403.149.1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/>
          <w:b/>
          <w:bCs/>
          <w:sz w:val="24"/>
          <w:szCs w:val="24"/>
        </w:rPr>
        <w:t>73403.49.7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/>
          <w:b/>
          <w:bCs/>
          <w:sz w:val="24"/>
          <w:szCs w:val="24"/>
        </w:rPr>
        <w:t>73403.49.8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/>
          <w:b/>
          <w:bCs/>
          <w:sz w:val="24"/>
          <w:szCs w:val="24"/>
        </w:rPr>
        <w:t>73403.149.14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sz w:val="24"/>
          <w:szCs w:val="24"/>
        </w:rPr>
        <w:t xml:space="preserve"> </w:t>
      </w:r>
      <w:bookmarkEnd w:id="1"/>
      <w:r>
        <w:rPr>
          <w:rFonts w:eastAsia="Times New Roman" w:cs="Times New Roman"/>
          <w:b w:val="false"/>
          <w:bCs w:val="false"/>
          <w:sz w:val="24"/>
          <w:szCs w:val="24"/>
        </w:rPr>
        <w:t xml:space="preserve">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/>
          <w:b w:val="false"/>
          <w:bCs w:val="false"/>
          <w:sz w:val="24"/>
          <w:szCs w:val="24"/>
        </w:rPr>
        <w:t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кодекс),</w:t>
      </w:r>
      <w:r>
        <w:rPr>
          <w:sz w:val="28"/>
          <w:szCs w:val="28"/>
        </w:rPr>
        <w:t xml:space="preserve"> </w:t>
      </w:r>
      <w:r>
        <w:rPr/>
        <w:t>са защитени от Закона за защита на личните данни;</w:t>
      </w:r>
    </w:p>
    <w:p>
      <w:pPr>
        <w:pStyle w:val="Normal"/>
        <w:spacing w:before="0" w:after="494"/>
        <w:ind w:hanging="10" w:left="28" w:right="187"/>
        <w:rPr/>
      </w:pPr>
      <w:r>
        <w:rPr/>
        <w:t xml:space="preserve"> </w:t>
      </w:r>
      <w:r>
        <w:rPr/>
        <w:drawing>
          <wp:inline distT="0" distB="0" distL="0" distR="0">
            <wp:extent cx="50165" cy="50165"/>
            <wp:effectExtent l="0" t="0" r="0" b="0"/>
            <wp:docPr id="2" name="Picture 19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5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съм съгласен Агенцията за публичните предприятия и контрол, и </w:t>
      </w:r>
      <w:r>
        <w:rPr>
          <w:szCs w:val="24"/>
        </w:rPr>
        <w:t>СБПЛРББ „Царица Йоанна“ ЕООД - град Трявна</w:t>
      </w:r>
      <w:r>
        <w:rPr/>
        <w:t xml:space="preserve"> да съхраняват, обработват и да предоставят личните ми данни, когато такова задължение възниква по силата на специална законова разпоредба и/или когато това е необходимо за осъществяване на нормативно установените функции на Агенцията за публичните предприятия и контрол във връзка с електронен търг за продажба на описания по-горе недвижим имот</w:t>
      </w:r>
      <w:r>
        <w:rPr>
          <w:szCs w:val="24"/>
        </w:rPr>
        <w:t>.</w:t>
      </w:r>
      <w:r>
        <w:rPr>
          <w:sz w:val="28"/>
          <w:szCs w:val="28"/>
        </w:rPr>
        <w:t xml:space="preserve"> </w:t>
      </w:r>
      <w:bookmarkStart w:id="2" w:name="_GoBack"/>
      <w:bookmarkEnd w:id="2"/>
      <w:r>
        <w:rPr>
          <w:szCs w:val="24"/>
        </w:rPr>
        <w:t xml:space="preserve"> </w:t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 w:right="130"/>
        <w:jc w:val="left"/>
        <w:rPr/>
      </w:pPr>
      <w:r>
        <w:rPr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 w:right="13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 w:right="130"/>
        <w:jc w:val="left"/>
        <w:rPr/>
      </w:pPr>
      <w:r>
        <w:rPr>
          <w:sz w:val="24"/>
          <w:szCs w:val="24"/>
        </w:rPr>
        <w:t xml:space="preserve">дата: </w:t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1190625" cy="6350"/>
                <wp:effectExtent l="0" t="0" r="0" b="0"/>
                <wp:docPr id="3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  <a:chOff x="0" y="0"/>
                          <a:chExt cx="1190520" cy="648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>
                              <a:gd name="textAreaLeft" fmla="*/ 0 w 675000"/>
                              <a:gd name="textAreaRight" fmla="*/ 675720 w 675000"/>
                              <a:gd name="textAreaTop" fmla="*/ 0 h 3600"/>
                              <a:gd name="textAreaBottom" fmla="*/ 432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0.55pt;width:93.75pt;height:0.5pt" coordorigin="0,-11" coordsize="1875,10"/>
            </w:pict>
          </mc:Fallback>
        </mc:AlternateContent>
      </w:r>
      <w:r>
        <w:rPr>
          <w:sz w:val="24"/>
          <w:szCs w:val="24"/>
        </w:rPr>
        <w:tab/>
        <w:t>ДЕКЛАРАТОР: ......................................</w:t>
      </w:r>
    </w:p>
    <w:p>
      <w:pPr>
        <w:pStyle w:val="Normal"/>
        <w:tabs>
          <w:tab w:val="clear" w:pos="708"/>
          <w:tab w:val="center" w:pos="5436" w:leader="none"/>
        </w:tabs>
        <w:spacing w:lineRule="auto" w:line="259" w:before="0" w:after="0"/>
        <w:ind w:hanging="10" w:left="10" w:right="14"/>
        <w:jc w:val="righ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325" w:right="1109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5"/>
      <w:ind w:hanging="10" w:left="89" w:right="13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359"/>
      <w:ind w:hanging="10" w:left="86" w:right="130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LibreOffice/7.6.4.1$Windows_X86_64 LibreOffice_project/e19e193f88cd6c0525a17fb7a176ed8e6a3e2aa1</Application>
  <AppVersion>15.0000</AppVersion>
  <Pages>2</Pages>
  <Words>702</Words>
  <Characters>4477</Characters>
  <CharactersWithSpaces>5183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2020-02-04T09:51:00Z</dcterms:created>
  <dc:creator>Потребител на Windows</dc:creator>
  <dc:description/>
  <dc:language>bg-BG</dc:language>
  <cp:lastModifiedBy/>
  <dcterms:modified xsi:type="dcterms:W3CDTF">2025-09-26T15:49:11Z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